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6" w:rsidRPr="004E7274" w:rsidRDefault="00161A16" w:rsidP="00FD54B0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161A16" w:rsidRPr="004E7274" w:rsidRDefault="00161A16" w:rsidP="00161A16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61A16" w:rsidRPr="004E7274" w:rsidRDefault="00161A16" w:rsidP="00161A16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161A16" w:rsidRPr="00161A16" w:rsidRDefault="00161A16" w:rsidP="00161A16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61A16">
        <w:rPr>
          <w:b/>
        </w:rPr>
        <w:t xml:space="preserve">Вид процедури закупівлі: </w:t>
      </w:r>
      <w:r w:rsidRPr="00161A16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86A92" w:rsidRPr="00E86A92" w:rsidRDefault="00161A16" w:rsidP="00E86A92">
      <w:pPr>
        <w:pStyle w:val="a3"/>
        <w:numPr>
          <w:ilvl w:val="0"/>
          <w:numId w:val="2"/>
        </w:numPr>
        <w:rPr>
          <w:i/>
        </w:rPr>
      </w:pPr>
      <w:r w:rsidRPr="00E86A92">
        <w:rPr>
          <w:b/>
        </w:rPr>
        <w:t>Ідентифікатор процедури закупівлі:</w:t>
      </w:r>
      <w:r w:rsidRPr="00E86A92">
        <w:rPr>
          <w:i/>
        </w:rPr>
        <w:t xml:space="preserve"> </w:t>
      </w:r>
      <w:r w:rsidR="00E86A92" w:rsidRPr="00E86A92">
        <w:t>UA-2024-11-27-016331-a</w:t>
      </w:r>
    </w:p>
    <w:p w:rsidR="00161A16" w:rsidRPr="00E86A92" w:rsidRDefault="00161A16" w:rsidP="00E86A92">
      <w:pPr>
        <w:pStyle w:val="a3"/>
        <w:numPr>
          <w:ilvl w:val="0"/>
          <w:numId w:val="2"/>
        </w:numPr>
        <w:rPr>
          <w:i/>
        </w:rPr>
      </w:pPr>
      <w:r w:rsidRPr="00E86A92">
        <w:rPr>
          <w:b/>
        </w:rPr>
        <w:t xml:space="preserve">Обґрунтування розміру бюджетного призначення: </w:t>
      </w:r>
      <w:r w:rsidRPr="00E86A92">
        <w:rPr>
          <w:i/>
        </w:rPr>
        <w:t>Розмір бюджетного призначення, визначений відповідно до планового розрахунку на КЕКВ 2273 до кошторису на 2024 рік.</w:t>
      </w:r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FD54B0" w:rsidRPr="00FD54B0">
        <w:rPr>
          <w:i/>
        </w:rPr>
        <w:t>220 000</w:t>
      </w:r>
      <w:r w:rsidRPr="00FD54B0">
        <w:rPr>
          <w:i/>
        </w:rPr>
        <w:t>,00 грн. з ПДВ.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161A16" w:rsidRPr="004E7274" w:rsidRDefault="00161A16" w:rsidP="00161A16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>", тощо), а також шляхом ринкових консультацій на дату проведення закупівлі. До ціни електричної енергії включена вартість електричної енергії, закупо</w:t>
      </w:r>
      <w:r>
        <w:t>ву</w:t>
      </w:r>
      <w:r w:rsidRPr="004E7274">
        <w:t xml:space="preserve">ваної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 xml:space="preserve">Запланований обсяг предмету закупівлі необхідний для забезпечення діяльності та власних потреб об’єктів замовника у 2024 році: Електрична енергія – </w:t>
      </w:r>
      <w:r w:rsidR="00FD54B0" w:rsidRPr="00FD54B0">
        <w:rPr>
          <w:u w:val="single"/>
        </w:rPr>
        <w:t>2</w:t>
      </w:r>
      <w:r w:rsidR="005231C2">
        <w:rPr>
          <w:u w:val="single"/>
        </w:rPr>
        <w:t>5</w:t>
      </w:r>
      <w:bookmarkStart w:id="0" w:name="_GoBack"/>
      <w:bookmarkEnd w:id="0"/>
      <w:r w:rsidR="00FD54B0" w:rsidRPr="00FD54B0">
        <w:rPr>
          <w:u w:val="single"/>
        </w:rPr>
        <w:t xml:space="preserve"> 000</w:t>
      </w:r>
      <w:r w:rsidRPr="00FD54B0">
        <w:rPr>
          <w:u w:val="single"/>
        </w:rPr>
        <w:t xml:space="preserve"> </w:t>
      </w:r>
      <w:proofErr w:type="spellStart"/>
      <w:r w:rsidR="00FD54B0" w:rsidRPr="00FD54B0">
        <w:rPr>
          <w:color w:val="000000"/>
          <w:u w:val="single"/>
          <w:lang w:eastAsia="ar-SA"/>
        </w:rPr>
        <w:t>кВт</w:t>
      </w:r>
      <w:r w:rsidR="00FD54B0" w:rsidRPr="00FD54B0">
        <w:rPr>
          <w:rFonts w:ascii="Cambria Math" w:hAnsi="Cambria Math" w:cs="Cambria Math"/>
          <w:color w:val="000000"/>
          <w:u w:val="single"/>
          <w:lang w:eastAsia="ar-SA"/>
        </w:rPr>
        <w:t>⋅</w:t>
      </w:r>
      <w:r w:rsidR="00FD54B0" w:rsidRPr="00FD54B0">
        <w:rPr>
          <w:color w:val="000000"/>
          <w:u w:val="single"/>
          <w:lang w:eastAsia="ar-SA"/>
        </w:rPr>
        <w:t>год</w:t>
      </w:r>
      <w:proofErr w:type="spellEnd"/>
      <w:r w:rsidR="00FD54B0" w:rsidRPr="00FD54B0">
        <w:rPr>
          <w:color w:val="000000"/>
          <w:lang w:eastAsia="ar-SA"/>
        </w:rPr>
        <w:t>.</w:t>
      </w:r>
      <w:r w:rsidRPr="004E7274">
        <w:t xml:space="preserve">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161A16" w:rsidRPr="004E7274" w:rsidRDefault="00161A16" w:rsidP="00161A16">
      <w:pPr>
        <w:jc w:val="both"/>
      </w:pPr>
      <w:r w:rsidRPr="004E7274"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</w:t>
      </w:r>
      <w:r w:rsidR="00FD54B0">
        <w:t>ї</w:t>
      </w:r>
      <w:r w:rsidRPr="004E7274">
        <w:t xml:space="preserve">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161A16" w:rsidRDefault="00161A16" w:rsidP="005D49B5">
      <w:pPr>
        <w:jc w:val="both"/>
      </w:pPr>
      <w:r w:rsidRPr="004E7274">
        <w:t xml:space="preserve">Технічні та якісні характеристики товару  за предметом закупівлі визначені з урахуванням </w:t>
      </w:r>
      <w:r>
        <w:t>наявних</w:t>
      </w:r>
      <w:r w:rsidRPr="004E7274">
        <w:t xml:space="preserve"> потреб замовника у 2024 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</w:t>
      </w:r>
      <w:r w:rsidRPr="00161A16">
        <w:t>ДСТУ EN 50160:2023 «Характеристики напруги електропостачання в електричних мережах загального призначення» (EN 50160:2022, IDT)</w:t>
      </w:r>
      <w:r w:rsidRPr="004E7274">
        <w:t>.</w:t>
      </w:r>
    </w:p>
    <w:p w:rsidR="00161A16" w:rsidRDefault="00161A16">
      <w:pPr>
        <w:spacing w:after="200" w:line="276" w:lineRule="auto"/>
        <w:rPr>
          <w:b/>
          <w:caps/>
        </w:rPr>
      </w:pPr>
    </w:p>
    <w:sectPr w:rsidR="00161A1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1A16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231C2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B5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B7135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86A92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54B0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2024-12-02T12:18:00Z</cp:lastPrinted>
  <dcterms:created xsi:type="dcterms:W3CDTF">2024-04-08T10:12:00Z</dcterms:created>
  <dcterms:modified xsi:type="dcterms:W3CDTF">2024-12-02T12:19:00Z</dcterms:modified>
</cp:coreProperties>
</file>