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1103AF" w:rsidRDefault="00BF7D34" w:rsidP="001103AF">
      <w:pPr>
        <w:pStyle w:val="a3"/>
        <w:numPr>
          <w:ilvl w:val="0"/>
          <w:numId w:val="1"/>
        </w:numPr>
        <w:rPr>
          <w:i/>
        </w:rPr>
      </w:pPr>
      <w:r w:rsidRPr="001103AF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1103AF" w:rsidRPr="001103AF">
        <w:rPr>
          <w:i/>
        </w:rPr>
        <w:t>UA-2025-11-24-006796-a</w:t>
      </w:r>
    </w:p>
    <w:p w:rsidR="004D3FA9" w:rsidRPr="001103AF" w:rsidRDefault="00BF7D34" w:rsidP="001103AF">
      <w:pPr>
        <w:pStyle w:val="a3"/>
        <w:numPr>
          <w:ilvl w:val="0"/>
          <w:numId w:val="1"/>
        </w:numPr>
        <w:rPr>
          <w:i/>
        </w:rPr>
      </w:pPr>
      <w:r w:rsidRPr="001103AF">
        <w:rPr>
          <w:b/>
        </w:rPr>
        <w:t xml:space="preserve">Обґрунтування розміру бюджетного призначення: </w:t>
      </w:r>
      <w:r w:rsidRPr="001103AF">
        <w:rPr>
          <w:i/>
        </w:rPr>
        <w:t>Розмір бюджетного призначення, визначений відповідно до планового розрахунку на КЕКВ 2220 до кошторису на 2025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1103AF">
        <w:rPr>
          <w:i/>
        </w:rPr>
        <w:t>26 000</w:t>
      </w:r>
      <w:bookmarkStart w:id="0" w:name="_GoBack"/>
      <w:bookmarkEnd w:id="0"/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2025 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0B" w:rsidRDefault="00644D0B">
      <w:r>
        <w:separator/>
      </w:r>
    </w:p>
  </w:endnote>
  <w:endnote w:type="continuationSeparator" w:id="0">
    <w:p w:rsidR="00644D0B" w:rsidRDefault="0064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0B" w:rsidRDefault="00644D0B">
      <w:r>
        <w:separator/>
      </w:r>
    </w:p>
  </w:footnote>
  <w:footnote w:type="continuationSeparator" w:id="0">
    <w:p w:rsidR="00644D0B" w:rsidRDefault="0064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28</cp:revision>
  <cp:lastPrinted>2025-11-10T13:04:00Z</cp:lastPrinted>
  <dcterms:created xsi:type="dcterms:W3CDTF">2024-04-08T10:12:00Z</dcterms:created>
  <dcterms:modified xsi:type="dcterms:W3CDTF">2025-11-24T13:20:00Z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